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left"/>
        <w:rPr>
          <w:rFonts w:ascii="Times New Roman" w:cs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03F50"/>
          <w:spacing w:val="0"/>
          <w:sz w:val="28"/>
          <w:szCs w:val="28"/>
          <w:u w:val="none"/>
          <w:effect w:val="none"/>
        </w:rPr>
      </w:pPr>
      <w:r>
        <w:rPr/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03F50"/>
          <w:spacing w:val="0"/>
          <w:sz w:val="28"/>
          <w:szCs w:val="28"/>
          <w:u w:val="none"/>
          <w:effect w:val="none"/>
        </w:rPr>
        <w:t>Аннотация  дополнительной общеобразовательной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pacing w:after="0" w:before="0" w:line="100" w:lineRule="atLeast"/>
        <w:ind w:firstLine="698" w:left="0" w:right="76"/>
        <w:contextualSpacing w:val="false"/>
        <w:jc w:val="center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03F5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03F50"/>
          <w:spacing w:val="0"/>
          <w:sz w:val="28"/>
          <w:szCs w:val="28"/>
          <w:u w:val="none"/>
          <w:effect w:val="none"/>
        </w:rPr>
        <w:t>общеразвивающей программы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pacing w:after="0" w:before="0" w:line="100" w:lineRule="atLeast"/>
        <w:ind w:firstLine="698" w:left="0" w:right="76"/>
        <w:contextualSpacing w:val="false"/>
        <w:jc w:val="center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технической направленности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pacing w:after="0" w:before="0" w:line="100" w:lineRule="atLeast"/>
        <w:ind w:firstLine="698" w:left="0" w:right="76"/>
        <w:contextualSpacing w:val="false"/>
        <w:jc w:val="center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«Самоделкин»</w:t>
      </w:r>
    </w:p>
    <w:p>
      <w:pPr>
        <w:pStyle w:val="style0"/>
        <w:jc w:val="left"/>
        <w:rPr/>
      </w:pPr>
      <w:r>
        <w:rPr/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rFonts w:cs=""/>
          <w:sz w:val="28"/>
          <w:szCs w:val="28"/>
        </w:rPr>
      </w:pPr>
      <w:r>
        <w:rPr>
          <w:rFonts w:cs=""/>
          <w:sz w:val="28"/>
          <w:szCs w:val="28"/>
        </w:rPr>
        <w:t xml:space="preserve">В России востребованы специалисты с новым стилем инженерно – научного мышления. Этот стиль предполагает учет не только конструктивно-технологических, но и психологических, социальных, гуманистических и морально-этических факторов. Формирование такого современного инженера-конструктора желательно начинать с детства. Данная программа предусматривает развитие способностей детей к наглядному моделированию. 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rFonts w:cs=""/>
          <w:sz w:val="28"/>
          <w:szCs w:val="28"/>
        </w:rPr>
      </w:pPr>
      <w:r>
        <w:rPr>
          <w:rFonts w:cs=""/>
          <w:sz w:val="28"/>
          <w:szCs w:val="28"/>
        </w:rPr>
        <w:t>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 - Lego. Конструкторами Lego охвачены почти все возраста детей, обучающихся в различных образовательных учреждениях. Lego позволяет детям учиться, играя и обучаться в игре.</w:t>
      </w:r>
    </w:p>
    <w:p>
      <w:pPr>
        <w:pStyle w:val="style38"/>
        <w:spacing w:after="28" w:before="28" w:line="360" w:lineRule="auto"/>
        <w:ind w:firstLine="567" w:left="0" w:right="0"/>
        <w:contextualSpacing w:val="false"/>
        <w:jc w:val="both"/>
        <w:rPr>
          <w:rFonts w:ascii="Times New Roman;serif" w:cs="" w:hAnsi="Times New Roman;serif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;serif" w:cs="" w:hAnsi="Times New Roman;serif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  <w:t>Воспитательный модуль дополнительной общеобразовательной программы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  <w:t>В соответствии с требованиями с 1 сентября 2021 года программы дополнительного образования должны содержать рабочие программы воспитания и календарные планы воспитательной работы.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111115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Федеральный закон Российской Федерации № 273-ФЗ от 29 декабря 2012 года «Об образовании в Российской Федерации»: Статья 12.1. Общие требования к организации воспитания обучающихся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П. 9.1. ст.12.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включают в себя примерную рабочую программу воспитания и примерный календарный план воспитательной работы.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Цель воспитания в сфере дополнительного образования детей – ценностно-смысловое развитие ребенка.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Воспитательная модель ДОД базируется на том, что воспитание в дополнительном образовании рассматривается, прежде всего, как организация педагогических условий и возможностей для осознания ребенком собственного личностного опыта, приобретаемого на основе межличностных отношений и обусловленных ими ситуаций, проявляющегося в форме переживаний, смыслотворчества, саморазвития.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Воспитательные задачи можно условно разделить на 4 группы: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 первой группе речь идет о нравственном самоопределении ребенка.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Со стороны педагога необходима реализация комплекса методов и форм индивидуальной работы с воспитанником, ориентированных на идеальное представление о нравственном облике современного человека, на формирование гражданской идентичности и патриотических чувств.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Вторая группа воспитательных задач предполагает педагогическое сопровождение социального выбора и помогает ребенку ответить на следующие вопросы: с кем быть, как строить свои отношения с людьми, как обеспечить свое участие в улучшении окружающей жизни? Дополнительное образование предоставляет ребенку возможности приобретения для него нового социального опыта.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Третья группа воспитательных задач предполагает педагогическое сопровождение профессионального выбора, которая помогает ответить ребенку на вопрос кем быть?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Четвертая группа воспитательных задач предполагает педагогическое сопровождение овладения ребенком нормами общественной жизни и культуры, помогает ответить на вопрос что такое красота жизни и искусства?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Воспитательные практики • кейс-технологии («портфель» конкретных ситуаций и задач, требующих решения);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марафон (актуальная идея для реализации); • флешмоб (социальная или тематическая акция); • квест (игра-приключение на заданную тему) и т.д.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Результатами освоения программы воспитания станут: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1. приобщение обучающихся к российским традиционным духовным ценностям, правилам и нормам поведения в обществе;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2. формирование у обучающихся основ российской гражданской идентичности;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3. готовность обучающихся к саморазвитию;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4. ценностные установки и социально-значимые качества личности;</w:t>
      </w:r>
    </w:p>
    <w:p>
      <w:pPr>
        <w:pStyle w:val="style38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5. активное участие коллектива и его отдельных представителей в социально-значимой деятельности и др.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/>
      </w:pPr>
      <w:r>
        <w:rPr/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rFonts w:cs=""/>
          <w:sz w:val="28"/>
          <w:szCs w:val="28"/>
        </w:rPr>
      </w:pPr>
      <w:r>
        <w:rPr>
          <w:rFonts w:cs=""/>
          <w:sz w:val="28"/>
          <w:szCs w:val="28"/>
        </w:rPr>
        <w:t xml:space="preserve">Дополнительная общеразвивающая программа «Самоделкин» разработана в соответствии с действующим законодательством и нормативно-правовыми актами Российской Федерации, с учетом современных тенденций развития технического творчества на основе передового опыта обучения, с основными нормативными документами: 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i-IN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i-IN"/>
        </w:rPr>
        <w:t>-с требованиями к образовательным программам Федерального закона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об образовании в Российской Федерации от 29 декабря 2012 года № 273 (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п.9 ст.2 273-ФЗ);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-с Приказом Министерства просвещения Российской Федерации от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09.11.2018 года №196 «Об утверждении Порядка организации и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осуществления образовательной деятельности по дополнительным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общеобразовательным программам»;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-с Постановлением Главного государственного санитарного врача РФ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от 28.09.2020 № 28 Об утверждении санитарных правил СП 2.4.3648-20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«Санитарно-эпидемиологические требования к организациям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воспитания и обучения, отдыха и оздоровления детей и молодежи»;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- с методическими рекомендациями по проектированию дополнительных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общеобразовательных программ (включая разноуровневые программы).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Письмо Министерства образования и науки Российской Федерации от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18.11.2015 № 09-3242;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- с Правилами персонифицированного финансирования дополнительного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образования детей в Вологодской области, утвержденными приказом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Департамента образования области от 10.07.2017 № 2396 (с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последующими изменениями);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-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  <w:lang w:bidi="hi-IN"/>
        </w:rPr>
        <w:t>Устава муниципального бюджетного учреждения «Кожаевская основная общеобразовательная школа»;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-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  <w:lang w:bidi="hi-IN"/>
        </w:rPr>
        <w:t>Лицензии МБОУ «Кожаевская основная общеобразовательная школа» на образовательную деятельность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-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  <w:lang w:bidi="hi-IN"/>
        </w:rPr>
        <w:t>Положения о дополнительной общеобразовательной программе дополнительного образования МБОУ «Кожаевская основная общеобразовательная школа»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;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- с методическими рекомендациями по реализации образовательных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программ начального общего, основного общего, среднего общего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образования, образовательных программ среднего профессионального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образования и дополнительных общеобразовательных программ с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применением электронного обучения и дистанционных образовательных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rFonts w:cs="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cs="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>технологий.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rFonts w:cs=""/>
          <w:sz w:val="28"/>
          <w:szCs w:val="28"/>
        </w:rPr>
      </w:pPr>
      <w:r>
        <w:rPr>
          <w:rFonts w:cs=""/>
          <w:sz w:val="28"/>
          <w:szCs w:val="28"/>
        </w:rPr>
        <w:t xml:space="preserve">При составлении программы использовались </w:t>
      </w:r>
      <w:r>
        <w:rPr>
          <w:rFonts w:cs=""/>
          <w:i/>
          <w:sz w:val="28"/>
          <w:szCs w:val="28"/>
        </w:rPr>
        <w:t>программы технической направленности</w:t>
      </w:r>
      <w:r>
        <w:rPr>
          <w:rFonts w:cs=""/>
          <w:sz w:val="28"/>
          <w:szCs w:val="28"/>
        </w:rPr>
        <w:t>, реализуемые в МБОУ  «Кожаевская ООШ».</w:t>
      </w:r>
    </w:p>
    <w:p>
      <w:pPr>
        <w:pStyle w:val="style48"/>
        <w:spacing w:after="28" w:before="28" w:line="360" w:lineRule="auto"/>
        <w:ind w:firstLine="567" w:left="0" w:right="0"/>
        <w:contextualSpacing w:val="false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>Актуальность программы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определяется востребованностью  работы в коллективе и развитием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обучающимся в конце урока увидеть сделанную своими руками модель, которая выполняет поставленную ими же самими задачу.</w:t>
      </w:r>
    </w:p>
    <w:p>
      <w:pPr>
        <w:pStyle w:val="style0"/>
        <w:spacing w:after="0" w:before="0" w:line="360" w:lineRule="auto"/>
        <w:ind w:firstLine="567" w:left="0" w:right="0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Изучая простые механизмы, обучающиеся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>
      <w:pPr>
        <w:pStyle w:val="style0"/>
        <w:spacing w:after="0" w:before="0" w:line="360" w:lineRule="auto"/>
        <w:ind w:firstLine="567" w:left="0" w:right="0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Новизна программы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заключается в том, что позволяет школьникам в форме познавательной деятельности раскрыть практическую целесообразность Lego -конструирования, развить необходимые в дальнейшей жизни приобретенные умения и навыки. Интегрирование различных образовательных областей открывает возможности для реализации новых концепций школьников, овладения новыми навыками и расширения круга интересов.</w:t>
      </w:r>
    </w:p>
    <w:p>
      <w:pPr>
        <w:pStyle w:val="style0"/>
        <w:spacing w:after="0" w:before="0" w:line="360" w:lineRule="auto"/>
        <w:ind w:firstLine="567" w:left="0" w:right="0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Lego 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>
      <w:pPr>
        <w:pStyle w:val="style0"/>
        <w:spacing w:after="0" w:before="0" w:line="360" w:lineRule="auto"/>
        <w:ind w:firstLine="567" w:left="0" w:right="0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Настоящая программа имеет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техническую направленность.</w:t>
      </w:r>
    </w:p>
    <w:p>
      <w:pPr>
        <w:pStyle w:val="style0"/>
        <w:shd w:fill="FFFFFF" w:val="clear"/>
        <w:spacing w:after="0" w:before="0" w:line="360" w:lineRule="auto"/>
        <w:ind w:firstLine="540" w:left="0" w:right="-28"/>
        <w:contextualSpacing w:val="false"/>
        <w:jc w:val="both"/>
        <w:rPr>
          <w:rFonts w:ascii="Times New Roman" w:cs="Times New Roman" w:eastAsia="Times New Roman" w:hAnsi="Times New Roman"/>
          <w:i w:val="false"/>
          <w:iCs w:val="false"/>
          <w:spacing w:val="-13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pacing w:val="-13"/>
          <w:sz w:val="28"/>
          <w:szCs w:val="28"/>
        </w:rPr>
        <w:t>Педагогическая целесообразность</w:t>
      </w:r>
      <w:r>
        <w:rPr>
          <w:rFonts w:ascii="Times New Roman" w:cs="Times New Roman" w:eastAsia="Times New Roman" w:hAnsi="Times New Roman"/>
          <w:i w:val="false"/>
          <w:iCs w:val="false"/>
          <w:spacing w:val="-13"/>
          <w:sz w:val="28"/>
          <w:szCs w:val="28"/>
        </w:rPr>
        <w:t xml:space="preserve">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</w:t>
      </w:r>
      <w:r>
        <w:rPr>
          <w:rFonts w:ascii="Times New Roman" w:cs="Times New Roman" w:eastAsia="Times New Roman" w:hAnsi="Times New Roman"/>
          <w:i w:val="false"/>
          <w:iCs w:val="false"/>
          <w:spacing w:val="-13"/>
          <w:sz w:val="24"/>
          <w:szCs w:val="24"/>
        </w:rPr>
        <w:t xml:space="preserve"> 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- </w:t>
      </w:r>
      <w:r>
        <w:rPr>
          <w:sz w:val="28"/>
          <w:szCs w:val="28"/>
        </w:rPr>
        <w:t>развитие познавательных способностей обучающихся на основе системы развивающих занятий по моделированию из конструктора Legо, а также овладение навыками начального технического конструирования.</w:t>
      </w:r>
    </w:p>
    <w:p>
      <w:pPr>
        <w:pStyle w:val="style43"/>
        <w:spacing w:after="28" w:before="28" w:line="360" w:lineRule="auto"/>
        <w:ind w:firstLine="567" w:left="0" w:right="0"/>
        <w:contextualSpacing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>
      <w:pPr>
        <w:pStyle w:val="style43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целостному освоению обучающимися основных теоретических, технологических, креативных позиций компетентного осуществления исследовательской и проектной деятельности через техническое творчество;</w:t>
      </w:r>
    </w:p>
    <w:p>
      <w:pPr>
        <w:pStyle w:val="style43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расширять знания о науке и технике как способе рационально-практического освоения окружающего мира;</w:t>
      </w:r>
    </w:p>
    <w:p>
      <w:pPr>
        <w:pStyle w:val="style43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>
      <w:pPr>
        <w:pStyle w:val="style43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деятельности;</w:t>
      </w:r>
    </w:p>
    <w:p>
      <w:pPr>
        <w:pStyle w:val="style43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bookmarkStart w:id="0" w:name="__DdeLink__17348_2060242706"/>
      <w:bookmarkEnd w:id="0"/>
      <w:r>
        <w:rPr>
          <w:sz w:val="28"/>
          <w:szCs w:val="28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>
      <w:pPr>
        <w:pStyle w:val="style43"/>
        <w:spacing w:after="28" w:before="28" w:line="360" w:lineRule="auto"/>
        <w:contextualSpacing w:val="false"/>
        <w:jc w:val="both"/>
        <w:rPr>
          <w:rStyle w:val="style36"/>
          <w:color w:val="000000"/>
          <w:sz w:val="28"/>
          <w:szCs w:val="28"/>
        </w:rPr>
      </w:pPr>
      <w:r>
        <w:rPr>
          <w:rStyle w:val="style36"/>
          <w:b/>
          <w:i/>
          <w:color w:val="000000"/>
          <w:sz w:val="28"/>
          <w:szCs w:val="28"/>
        </w:rPr>
        <w:t>Отличительной особенностью</w:t>
      </w:r>
      <w:r>
        <w:rPr>
          <w:rStyle w:val="style36"/>
          <w:color w:val="000000"/>
          <w:sz w:val="28"/>
          <w:szCs w:val="28"/>
        </w:rPr>
        <w:t xml:space="preserve"> является синтез информации по основам конструирования технических устройств, их назначению и принципам работы. Теоретические и практические знания, полученные обучающимися, позволяют выполнить решение конструкторских задач, разрабатывать и изготавливать различные конструкции. Обучающимся предлагается проектная и исследовательская деятельность по техническому моделированию. В основе работы заложен принцип «от идеи к воплощению»: современные технологии, соединенные проектной и практико-ориентированной деятельностью с нацеленностью на результат. На занятиях обучающиеся приобщаются к теоретическим знаниям и практической деятельности. Дети учатся создавать модели, начиная от задумки до технического воплощения проекта в жизнь. А в перспективе модель может воплотиться в «серьезное» изделие. </w:t>
      </w:r>
    </w:p>
    <w:p>
      <w:pPr>
        <w:pStyle w:val="style0"/>
        <w:spacing w:after="0" w:before="0" w:line="360" w:lineRule="auto"/>
        <w:contextualSpacing w:val="false"/>
        <w:jc w:val="center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Режим реализации Программы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Язык обучения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русский.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Форма обучения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- очная.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Формы освоения Программы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групповая.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Набор обучающихся в учебные группы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свободный.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Возраст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6-11  лет.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Состав группы — от 5 до 30 чел.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Состав учебных групп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постоянный.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Срок реализации Программы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1 год.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Количество занятий в неделю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1.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Количество часов в неделю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1 ч.</w:t>
      </w:r>
    </w:p>
    <w:p>
      <w:pPr>
        <w:pStyle w:val="style0"/>
        <w:spacing w:after="0" w:before="0" w:line="360" w:lineRule="auto"/>
        <w:contextualSpacing w:val="false"/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36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Общее количество учебных часов</w:t>
      </w:r>
      <w:r>
        <w:rPr>
          <w:rStyle w:val="style36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34 часа.</w:t>
      </w:r>
    </w:p>
    <w:p>
      <w:pPr>
        <w:pStyle w:val="style49"/>
        <w:spacing w:line="36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49"/>
        <w:spacing w:line="36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Прогнозируемые результаты </w:t>
      </w:r>
    </w:p>
    <w:p>
      <w:pPr>
        <w:pStyle w:val="style49"/>
        <w:spacing w:line="360" w:lineRule="auto"/>
        <w:ind w:firstLine="567" w:left="0"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 результате изучения курса по данной программе у обучающихся будут сформированы предметные знания, умения, навыки, представления, предусмотренные программой курса.</w:t>
      </w:r>
    </w:p>
    <w:p>
      <w:pPr>
        <w:pStyle w:val="style49"/>
        <w:spacing w:line="360" w:lineRule="auto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Обучающиеся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будут знать: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правила и порядок чтения схем, наглядных изображений и инструкционных карт;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основные приемы конструирования;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способы и приемы соединения деталей; 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правила техники безопасности;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основные виды архитектурных строений;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основные виды механизмов и техники;</w:t>
      </w:r>
    </w:p>
    <w:p>
      <w:pPr>
        <w:pStyle w:val="style49"/>
        <w:numPr>
          <w:ilvl w:val="0"/>
          <w:numId w:val="3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дополнительные материалы, которые можно использовать в конструировании, чтобы расширить возможность конструктора </w:t>
      </w:r>
      <w:r>
        <w:rPr>
          <w:rFonts w:ascii="Times New Roman" w:cs="Times New Roman" w:hAnsi="Times New Roman"/>
          <w:sz w:val="28"/>
          <w:szCs w:val="28"/>
        </w:rPr>
        <w:t>Lego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 уметь с ними обращаться;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Обучающиеся будут уметь:</w:t>
      </w:r>
    </w:p>
    <w:p>
      <w:pPr>
        <w:pStyle w:val="style42"/>
        <w:numPr>
          <w:ilvl w:val="0"/>
          <w:numId w:val="4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читать графические изображения;</w:t>
      </w:r>
    </w:p>
    <w:p>
      <w:pPr>
        <w:pStyle w:val="style42"/>
        <w:numPr>
          <w:ilvl w:val="0"/>
          <w:numId w:val="4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собирать макеты различных строений и технических устройств, внешне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напоминающие оригиналы;</w:t>
      </w:r>
    </w:p>
    <w:p>
      <w:pPr>
        <w:pStyle w:val="style42"/>
        <w:numPr>
          <w:ilvl w:val="0"/>
          <w:numId w:val="5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строить некоторые движущиеся механизмы;</w:t>
      </w:r>
    </w:p>
    <w:p>
      <w:pPr>
        <w:pStyle w:val="style42"/>
        <w:numPr>
          <w:ilvl w:val="0"/>
          <w:numId w:val="5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создавать реально действующие модели;</w:t>
      </w:r>
    </w:p>
    <w:p>
      <w:pPr>
        <w:pStyle w:val="style42"/>
        <w:numPr>
          <w:ilvl w:val="0"/>
          <w:numId w:val="5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демонстрировать работу моделей;</w:t>
      </w:r>
    </w:p>
    <w:p>
      <w:pPr>
        <w:pStyle w:val="style42"/>
        <w:numPr>
          <w:ilvl w:val="0"/>
          <w:numId w:val="5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конструировать и программировать модель, автономно выполняющую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несложные задания;</w:t>
      </w:r>
    </w:p>
    <w:p>
      <w:pPr>
        <w:pStyle w:val="style42"/>
        <w:numPr>
          <w:ilvl w:val="0"/>
          <w:numId w:val="2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применять на практике конструкторские, инженерные и вычислительные навыки;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Обучающиеся будут владеть:</w:t>
      </w:r>
    </w:p>
    <w:p>
      <w:pPr>
        <w:pStyle w:val="style42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работать в рамках одной бригады;</w:t>
      </w:r>
    </w:p>
    <w:p>
      <w:pPr>
        <w:pStyle w:val="style42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 распределять обязанности в своей бригаде;</w:t>
      </w:r>
    </w:p>
    <w:p>
      <w:pPr>
        <w:pStyle w:val="style42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 проявлять повышенное внимание культуре и этике общения;</w:t>
      </w:r>
    </w:p>
    <w:p>
      <w:pPr>
        <w:pStyle w:val="style42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 проявлять творческий подход к решению поставленной задачи;</w:t>
      </w:r>
    </w:p>
    <w:p>
      <w:pPr>
        <w:pStyle w:val="style42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умением высказывать свою точку зрения, предлагать свою помощь и просить о помощи товарища; </w:t>
      </w:r>
    </w:p>
    <w:p>
      <w:pPr>
        <w:pStyle w:val="style42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умением проявлять интерес к обсуждению выставок собственных работ. </w:t>
      </w:r>
    </w:p>
    <w:p>
      <w:pPr>
        <w:pStyle w:val="style0"/>
        <w:spacing w:after="200" w:before="0"/>
        <w:contextualSpacing w:val="false"/>
        <w:jc w:val="left"/>
        <w:rPr/>
      </w:pPr>
      <w:r>
        <w:rPr/>
      </w:r>
    </w:p>
    <w:sectPr>
      <w:type w:val="nextPage"/>
      <w:pgSz w:h="16838" w:w="11906"/>
      <w:pgMar w:bottom="851" w:footer="0" w:gutter="0" w:header="0" w:left="975" w:right="761" w:top="851"/>
      <w:pgNumType w:fmt="decimal"/>
      <w:formProt w:val="false"/>
      <w:textDirection w:val="lrTb"/>
      <w:docGrid w:charSpace="57344" w:linePitch="5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auto"/>
    <w:pitch w:val="default"/>
  </w:font>
  <w:font w:name="Times New Roman">
    <w:altName w:val="serif"/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0"/>
      <w:numFmt w:val="bullet"/>
      <w:lvlText w:val="—"/>
      <w:lvlJc w:val="left"/>
      <w:pPr>
        <w:ind w:hanging="361" w:left="526"/>
      </w:pPr>
      <w:rPr>
        <w:rFonts w:ascii="Times New Roman" w:cs="Times New Roman" w:hAnsi="Times New Roman" w:hint="default"/>
        <w:sz w:val="24"/>
        <w:i w:val="false"/>
        <w:b w:val="false"/>
        <w:szCs w:val="24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ind w:hanging="361" w:left="1548"/>
      </w:pPr>
      <w:rPr>
        <w:rFonts w:ascii="Symbol" w:cs="Symbol" w:hAnsi="Symbol" w:hint="default"/>
      </w:rPr>
    </w:lvl>
    <w:lvl w:ilvl="2">
      <w:start w:val="0"/>
      <w:numFmt w:val="bullet"/>
      <w:lvlText w:val=""/>
      <w:lvlJc w:val="left"/>
      <w:pPr>
        <w:ind w:hanging="361" w:left="2576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361" w:left="3604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361" w:left="4632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361" w:left="5660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361" w:left="6688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361" w:left="7716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361" w:left="8744"/>
      </w:pPr>
      <w:rPr>
        <w:rFonts w:ascii="Symbol" w:cs="Symbol" w:hAnsi="Symbol" w:hint="default"/>
      </w:rPr>
    </w:lvl>
  </w:abstractNum>
  <w:abstractNum w:abstractNumId="2">
    <w:lvl w:ilvl="0">
      <w:start w:val="0"/>
      <w:numFmt w:val="bullet"/>
      <w:lvlText w:val="—"/>
      <w:lvlJc w:val="left"/>
      <w:pPr>
        <w:ind w:hanging="361" w:left="526"/>
      </w:pPr>
      <w:rPr>
        <w:rFonts w:ascii="Times New Roman" w:cs="Times New Roman" w:hAnsi="Times New Roman" w:hint="default"/>
        <w:sz w:val="24"/>
        <w:i w:val="false"/>
        <w:b w:val="false"/>
        <w:szCs w:val="24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ind w:hanging="361" w:left="1548"/>
      </w:pPr>
      <w:rPr>
        <w:rFonts w:ascii="Symbol" w:cs="Symbol" w:hAnsi="Symbol" w:hint="default"/>
      </w:rPr>
    </w:lvl>
    <w:lvl w:ilvl="2">
      <w:start w:val="0"/>
      <w:numFmt w:val="bullet"/>
      <w:lvlText w:val=""/>
      <w:lvlJc w:val="left"/>
      <w:pPr>
        <w:ind w:hanging="361" w:left="2576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361" w:left="3604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361" w:left="4632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361" w:left="5660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361" w:left="6688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361" w:left="7716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361" w:left="8744"/>
      </w:pPr>
      <w:rPr>
        <w:rFonts w:ascii="Symbol" w:cs="Symbol" w:hAnsi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ind w:hanging="325" w:left="610"/>
      </w:pPr>
      <w:rPr>
        <w:sz w:val="24"/>
        <w:i/>
        <w:b w:val="false"/>
        <w:szCs w:val="24"/>
        <w:iCs/>
        <w:bCs w:val="false"/>
        <w:w w:val="100"/>
      </w:rPr>
    </w:lvl>
    <w:lvl w:ilvl="1">
      <w:start w:val="0"/>
      <w:numFmt w:val="bullet"/>
      <w:lvlText w:val="—"/>
      <w:lvlJc w:val="left"/>
      <w:pPr>
        <w:ind w:hanging="361" w:left="526"/>
      </w:pPr>
      <w:rPr>
        <w:rFonts w:ascii="Times New Roman" w:cs="Times New Roman" w:hAnsi="Times New Roman" w:hint="default"/>
        <w:sz w:val="24"/>
        <w:i w:val="false"/>
        <w:b w:val="false"/>
        <w:szCs w:val="24"/>
        <w:iCs w:val="false"/>
        <w:bCs w:val="false"/>
        <w:w w:val="100"/>
      </w:rPr>
    </w:lvl>
    <w:lvl w:ilvl="2">
      <w:start w:val="0"/>
      <w:numFmt w:val="bullet"/>
      <w:lvlText w:val=""/>
      <w:lvlJc w:val="left"/>
      <w:pPr>
        <w:ind w:hanging="361" w:left="1751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361" w:left="2882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361" w:left="4013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361" w:left="5144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361" w:left="6275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361" w:left="7406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361" w:left="8537"/>
      </w:pPr>
      <w:rPr>
        <w:rFonts w:ascii="Symbol" w:cs="Symbol" w:hAnsi="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ind w:hanging="325" w:left="610"/>
      </w:pPr>
      <w:rPr>
        <w:sz w:val="24"/>
        <w:i/>
        <w:b w:val="false"/>
        <w:szCs w:val="24"/>
        <w:iCs/>
        <w:bCs w:val="false"/>
        <w:w w:val="100"/>
      </w:rPr>
    </w:lvl>
    <w:lvl w:ilvl="1">
      <w:start w:val="0"/>
      <w:numFmt w:val="bullet"/>
      <w:lvlText w:val="—"/>
      <w:lvlJc w:val="left"/>
      <w:pPr>
        <w:ind w:hanging="361" w:left="526"/>
      </w:pPr>
      <w:rPr>
        <w:rFonts w:ascii="Times New Roman" w:cs="Times New Roman" w:hAnsi="Times New Roman" w:hint="default"/>
        <w:sz w:val="24"/>
        <w:i w:val="false"/>
        <w:b w:val="false"/>
        <w:szCs w:val="24"/>
        <w:iCs w:val="false"/>
        <w:bCs w:val="false"/>
        <w:w w:val="100"/>
      </w:rPr>
    </w:lvl>
    <w:lvl w:ilvl="2">
      <w:start w:val="0"/>
      <w:numFmt w:val="bullet"/>
      <w:lvlText w:val=""/>
      <w:lvlJc w:val="left"/>
      <w:pPr>
        <w:ind w:hanging="361" w:left="1751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361" w:left="2882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361" w:left="4013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361" w:left="5144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361" w:left="6275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361" w:left="7406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361" w:left="8537"/>
      </w:pPr>
      <w:rPr>
        <w:rFonts w:ascii="Symbol" w:cs="Symbol" w:hAnsi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ind w:hanging="241" w:left="346"/>
      </w:pPr>
      <w:rPr>
        <w:sz w:val="24"/>
        <w:i w:val="false"/>
        <w:b w:val="false"/>
        <w:szCs w:val="24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ind w:hanging="241" w:left="1384"/>
      </w:pPr>
      <w:rPr>
        <w:rFonts w:ascii="Symbol" w:cs="Symbol" w:hAnsi="Symbol" w:hint="default"/>
      </w:rPr>
    </w:lvl>
    <w:lvl w:ilvl="2">
      <w:start w:val="0"/>
      <w:numFmt w:val="bullet"/>
      <w:lvlText w:val=""/>
      <w:lvlJc w:val="left"/>
      <w:pPr>
        <w:ind w:hanging="241" w:left="2428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241" w:left="3472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241" w:left="4516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241" w:left="5560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241" w:left="6604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241" w:left="7648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241" w:left="8692"/>
      </w:pPr>
      <w:rPr>
        <w:rFonts w:ascii="Symbol" w:cs="Symbol" w:hAnsi="Symbol" w:hint="default"/>
      </w:rPr>
    </w:lvl>
  </w:abstractNum>
  <w:abstractNum w:abstractNumId="6">
    <w:lvl w:ilvl="0">
      <w:start w:val="1"/>
      <w:numFmt w:val="bullet"/>
      <w:lvlText w:val="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spacing w:after="0" w:before="66"/>
      <w:ind w:hanging="0" w:left="106" w:right="0"/>
      <w:contextualSpacing w:val="false"/>
    </w:pPr>
    <w:rPr>
      <w:rFonts w:ascii="Times New Roman" w:cs="Times New Roman" w:eastAsia="Times New Roman" w:hAnsi="Times New Roman"/>
      <w:b/>
      <w:bCs/>
      <w:sz w:val="24"/>
      <w:szCs w:val="24"/>
      <w:lang w:bidi="ar-SA" w:eastAsia="en-US" w:val="ru-RU"/>
    </w:rPr>
  </w:style>
  <w:style w:styleId="style2" w:type="paragraph">
    <w:name w:val="Заголовок 2"/>
    <w:basedOn w:val="style0"/>
    <w:next w:val="style2"/>
    <w:pPr>
      <w:spacing w:after="0" w:before="189"/>
      <w:ind w:hanging="0" w:left="106" w:right="0"/>
      <w:contextualSpacing w:val="false"/>
    </w:pPr>
    <w:rPr>
      <w:rFonts w:ascii="Times New Roman" w:cs="Times New Roman" w:eastAsia="Times New Roman" w:hAnsi="Times New Roman"/>
      <w:b/>
      <w:bCs/>
      <w:sz w:val="24"/>
      <w:szCs w:val="24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basedOn w:val="style15"/>
    <w:next w:val="style16"/>
    <w:rPr>
      <w:b/>
      <w:bCs/>
    </w:rPr>
  </w:style>
  <w:style w:styleId="style17" w:type="character">
    <w:name w:val="apple-converted-space"/>
    <w:basedOn w:val="style15"/>
    <w:next w:val="style17"/>
    <w:rPr/>
  </w:style>
  <w:style w:styleId="style18" w:type="character">
    <w:name w:val="Текст выноски Знак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Интернет-ссылка"/>
    <w:next w:val="style19"/>
    <w:rPr>
      <w:color w:val="000080"/>
      <w:u w:val="single"/>
      <w:lang w:bidi="zxx-" w:eastAsia="zxx-" w:val="zxx-"/>
    </w:rPr>
  </w:style>
  <w:style w:styleId="style20" w:type="character">
    <w:name w:val="ListLabel 4"/>
    <w:next w:val="style20"/>
    <w:rPr>
      <w:rFonts w:cs="Times New Roman" w:eastAsia="Times New Roman"/>
      <w:b w:val="false"/>
      <w:bCs w:val="false"/>
      <w:i w:val="false"/>
      <w:iCs w:val="false"/>
      <w:w w:val="100"/>
      <w:sz w:val="24"/>
      <w:szCs w:val="24"/>
      <w:lang w:bidi="ar-SA" w:eastAsia="en-US" w:val="ru-RU"/>
    </w:rPr>
  </w:style>
  <w:style w:styleId="style21" w:type="character">
    <w:name w:val="ListLabel 2"/>
    <w:next w:val="style21"/>
    <w:rPr>
      <w:lang w:bidi="ar-SA" w:eastAsia="en-US" w:val="ru-RU"/>
    </w:rPr>
  </w:style>
  <w:style w:styleId="style22" w:type="character">
    <w:name w:val="ListLabel 3"/>
    <w:next w:val="style22"/>
    <w:rPr>
      <w:rFonts w:cs="Times New Roman" w:eastAsia="Times New Roman"/>
      <w:b w:val="false"/>
      <w:bCs w:val="false"/>
      <w:i/>
      <w:iCs/>
      <w:w w:val="100"/>
      <w:sz w:val="24"/>
      <w:szCs w:val="24"/>
      <w:lang w:bidi="ar-SA" w:eastAsia="en-US" w:val="ru-RU"/>
    </w:rPr>
  </w:style>
  <w:style w:styleId="style23" w:type="character">
    <w:name w:val="Посещённая гиперссылка"/>
    <w:next w:val="style23"/>
    <w:rPr>
      <w:color w:val="800000"/>
      <w:u w:val="single"/>
      <w:lang w:bidi="zxx-" w:eastAsia="zxx-" w:val="zxx-"/>
    </w:rPr>
  </w:style>
  <w:style w:styleId="style24" w:type="character">
    <w:name w:val="ListLabel 1"/>
    <w:next w:val="style24"/>
    <w:rPr>
      <w:rFonts w:cs="Times New Roman" w:eastAsia="Times New Roman"/>
      <w:b w:val="false"/>
      <w:bCs w:val="false"/>
      <w:i w:val="false"/>
      <w:iCs w:val="false"/>
      <w:w w:val="100"/>
      <w:sz w:val="24"/>
      <w:szCs w:val="24"/>
      <w:lang w:bidi="ar-SA" w:eastAsia="en-US" w:val="ru-RU"/>
    </w:rPr>
  </w:style>
  <w:style w:styleId="style25" w:type="character">
    <w:name w:val="ListLabel 5"/>
    <w:next w:val="style25"/>
    <w:rPr>
      <w:rFonts w:cs="Times New Roman"/>
      <w:b w:val="false"/>
      <w:bCs w:val="false"/>
      <w:i w:val="false"/>
      <w:iCs w:val="false"/>
      <w:w w:val="100"/>
      <w:sz w:val="24"/>
      <w:szCs w:val="24"/>
    </w:rPr>
  </w:style>
  <w:style w:styleId="style26" w:type="character">
    <w:name w:val="ListLabel 6"/>
    <w:next w:val="style26"/>
    <w:rPr>
      <w:rFonts w:cs="Symbol"/>
    </w:rPr>
  </w:style>
  <w:style w:styleId="style27" w:type="character">
    <w:name w:val="ListLabel 7"/>
    <w:next w:val="style27"/>
    <w:rPr>
      <w:b w:val="false"/>
      <w:bCs w:val="false"/>
      <w:i/>
      <w:iCs/>
      <w:w w:val="100"/>
      <w:sz w:val="24"/>
      <w:szCs w:val="24"/>
    </w:rPr>
  </w:style>
  <w:style w:styleId="style28" w:type="character">
    <w:name w:val="ListLabel 8"/>
    <w:next w:val="style28"/>
    <w:rPr>
      <w:b w:val="false"/>
      <w:bCs w:val="false"/>
      <w:i w:val="false"/>
      <w:iCs w:val="false"/>
      <w:w w:val="100"/>
      <w:sz w:val="24"/>
      <w:szCs w:val="24"/>
    </w:rPr>
  </w:style>
  <w:style w:styleId="style29" w:type="character">
    <w:name w:val="ListLabel 9"/>
    <w:next w:val="style29"/>
    <w:rPr>
      <w:rFonts w:cs="Times New Roman"/>
      <w:b w:val="false"/>
      <w:bCs w:val="false"/>
      <w:i w:val="false"/>
      <w:iCs w:val="false"/>
      <w:w w:val="100"/>
      <w:sz w:val="24"/>
      <w:szCs w:val="24"/>
    </w:rPr>
  </w:style>
  <w:style w:styleId="style30" w:type="character">
    <w:name w:val="ListLabel 10"/>
    <w:next w:val="style30"/>
    <w:rPr>
      <w:rFonts w:cs="Symbol"/>
    </w:rPr>
  </w:style>
  <w:style w:styleId="style31" w:type="character">
    <w:name w:val="ListLabel 11"/>
    <w:next w:val="style31"/>
    <w:rPr>
      <w:b w:val="false"/>
      <w:bCs w:val="false"/>
      <w:i/>
      <w:iCs/>
      <w:w w:val="100"/>
      <w:sz w:val="24"/>
      <w:szCs w:val="24"/>
    </w:rPr>
  </w:style>
  <w:style w:styleId="style32" w:type="character">
    <w:name w:val="ListLabel 12"/>
    <w:next w:val="style32"/>
    <w:rPr>
      <w:b w:val="false"/>
      <w:bCs w:val="false"/>
      <w:i w:val="false"/>
      <w:iCs w:val="false"/>
      <w:w w:val="100"/>
      <w:sz w:val="24"/>
      <w:szCs w:val="24"/>
    </w:rPr>
  </w:style>
  <w:style w:styleId="style33" w:type="character">
    <w:name w:val="ListLabel 19"/>
    <w:next w:val="style33"/>
    <w:rPr>
      <w:rFonts w:cs="Wingdings"/>
    </w:rPr>
  </w:style>
  <w:style w:styleId="style34" w:type="character">
    <w:name w:val="ListLabel 18"/>
    <w:next w:val="style34"/>
    <w:rPr>
      <w:rFonts w:cs="Courier New"/>
    </w:rPr>
  </w:style>
  <w:style w:styleId="style35" w:type="character">
    <w:name w:val="ListLabel 17"/>
    <w:next w:val="style35"/>
    <w:rPr>
      <w:rFonts w:cs="Symbol"/>
    </w:rPr>
  </w:style>
  <w:style w:styleId="style36" w:type="character">
    <w:name w:val="c3"/>
    <w:basedOn w:val="style15"/>
    <w:next w:val="style36"/>
    <w:rPr/>
  </w:style>
  <w:style w:styleId="style37" w:type="paragraph">
    <w:name w:val="Заголовок"/>
    <w:basedOn w:val="style0"/>
    <w:next w:val="style38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38" w:type="paragraph">
    <w:name w:val="Основной текст"/>
    <w:basedOn w:val="style0"/>
    <w:next w:val="style38"/>
    <w:pPr>
      <w:spacing w:after="120" w:before="0"/>
      <w:contextualSpacing w:val="false"/>
    </w:pPr>
    <w:rPr/>
  </w:style>
  <w:style w:styleId="style39" w:type="paragraph">
    <w:name w:val="Список"/>
    <w:basedOn w:val="style38"/>
    <w:next w:val="style39"/>
    <w:pPr/>
    <w:rPr>
      <w:rFonts w:cs="Arial Unicode MS"/>
    </w:rPr>
  </w:style>
  <w:style w:styleId="style40" w:type="paragraph">
    <w:name w:val="Название"/>
    <w:basedOn w:val="style0"/>
    <w:next w:val="style40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41" w:type="paragraph">
    <w:name w:val="Указатель"/>
    <w:basedOn w:val="style0"/>
    <w:next w:val="style41"/>
    <w:pPr>
      <w:suppressLineNumbers/>
    </w:pPr>
    <w:rPr>
      <w:rFonts w:cs="Arial Unicode MS"/>
    </w:rPr>
  </w:style>
  <w:style w:styleId="style42" w:type="paragraph">
    <w:name w:val="List Paragraph"/>
    <w:basedOn w:val="style0"/>
    <w:next w:val="style42"/>
    <w:pPr>
      <w:spacing w:after="200" w:before="0"/>
      <w:ind w:hanging="0" w:left="720" w:right="0"/>
      <w:contextualSpacing/>
    </w:pPr>
    <w:rPr/>
  </w:style>
  <w:style w:styleId="style43" w:type="paragraph">
    <w:name w:val="Normal (Web)"/>
    <w:basedOn w:val="style0"/>
    <w:next w:val="style43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44" w:type="paragraph">
    <w:name w:val="Balloon Text"/>
    <w:basedOn w:val="style0"/>
    <w:next w:val="style4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45" w:type="paragraph">
    <w:name w:val="Содержимое таблицы"/>
    <w:basedOn w:val="style0"/>
    <w:next w:val="style45"/>
    <w:pPr/>
    <w:rPr/>
  </w:style>
  <w:style w:styleId="style46" w:type="paragraph">
    <w:name w:val="Заголовок таблицы"/>
    <w:basedOn w:val="style45"/>
    <w:next w:val="style46"/>
    <w:pPr/>
    <w:rPr/>
  </w:style>
  <w:style w:styleId="style47" w:type="paragraph">
    <w:name w:val="Table Paragraph"/>
    <w:basedOn w:val="style0"/>
    <w:next w:val="style47"/>
    <w:pPr/>
    <w:rPr>
      <w:rFonts w:ascii="Times New Roman" w:cs="Times New Roman" w:eastAsia="Times New Roman" w:hAnsi="Times New Roman"/>
      <w:lang w:bidi="ar-SA" w:eastAsia="en-US" w:val="ru-RU"/>
    </w:rPr>
  </w:style>
  <w:style w:styleId="style48" w:type="paragraph">
    <w:name w:val="pcenter"/>
    <w:basedOn w:val="style0"/>
    <w:next w:val="style48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49" w:type="paragraph">
    <w:name w:val="No Spacing"/>
    <w:next w:val="style49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2013-11-26T11:29:00Z</dcterms:created>
  <dc:creator>3</dc:creator>
  <cp:lastModifiedBy>3</cp:lastModifiedBy>
  <cp:lastPrinted>2022-07-09T13:22:34Z</cp:lastPrinted>
  <dcterms:modified xsi:type="dcterms:W3CDTF">2013-11-26T13:03:00Z</dcterms:modified>
  <cp:revision>1</cp:revision>
</cp:coreProperties>
</file>